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1D27F7"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1D27F7" w:rsidRPr="001D27F7" w:rsidRDefault="001D27F7" w:rsidP="001D27F7">
      <w:pPr>
        <w:spacing w:before="120"/>
        <w:jc w:val="both"/>
        <w:rPr>
          <w:rFonts w:ascii="Arial" w:eastAsia="Times New Roman" w:hAnsi="Arial" w:cs="Arial"/>
          <w:sz w:val="24"/>
          <w:szCs w:val="24"/>
          <w:lang w:eastAsia="tr-TR"/>
        </w:rPr>
      </w:pPr>
      <w:r w:rsidRPr="001D27F7">
        <w:rPr>
          <w:rFonts w:ascii="Arial" w:eastAsia="Times New Roman" w:hAnsi="Arial" w:cs="Arial"/>
          <w:sz w:val="24"/>
          <w:szCs w:val="24"/>
          <w:lang w:eastAsia="tr-TR"/>
        </w:rPr>
        <w:t>ALPAY ANTMEN (Mersin</w:t>
      </w:r>
      <w:proofErr w:type="gramStart"/>
      <w:r w:rsidRPr="001D27F7">
        <w:rPr>
          <w:rFonts w:ascii="Arial" w:eastAsia="Times New Roman" w:hAnsi="Arial" w:cs="Arial"/>
          <w:sz w:val="24"/>
          <w:szCs w:val="24"/>
          <w:lang w:eastAsia="tr-TR"/>
        </w:rPr>
        <w:t>) -</w:t>
      </w:r>
      <w:proofErr w:type="gramEnd"/>
      <w:r w:rsidRPr="001D27F7">
        <w:rPr>
          <w:rFonts w:ascii="Arial" w:eastAsia="Times New Roman" w:hAnsi="Arial" w:cs="Arial"/>
          <w:sz w:val="24"/>
          <w:szCs w:val="24"/>
          <w:lang w:eastAsia="tr-TR"/>
        </w:rPr>
        <w:t xml:space="preserve"> Teşekkür ederim Sayın Başkan.</w:t>
      </w:r>
    </w:p>
    <w:p w:rsidR="001D27F7" w:rsidRPr="001D27F7" w:rsidRDefault="001D27F7" w:rsidP="001D27F7">
      <w:pPr>
        <w:spacing w:before="120"/>
        <w:jc w:val="both"/>
        <w:rPr>
          <w:rFonts w:ascii="Arial" w:eastAsia="Times New Roman" w:hAnsi="Arial" w:cs="Arial"/>
          <w:sz w:val="24"/>
          <w:szCs w:val="24"/>
          <w:lang w:eastAsia="tr-TR"/>
        </w:rPr>
      </w:pPr>
      <w:r w:rsidRPr="001D27F7">
        <w:rPr>
          <w:rFonts w:ascii="Arial" w:eastAsia="Times New Roman" w:hAnsi="Arial" w:cs="Arial"/>
          <w:sz w:val="24"/>
          <w:szCs w:val="24"/>
          <w:lang w:eastAsia="tr-TR"/>
        </w:rPr>
        <w:t xml:space="preserve">    Şimdi, maddeye bakıyoruz, Ceza Muhakemeleri Kanunu'nun hükmün açıklanmasının geri bırakılmasına ilişkin hükümlerine bir istisna getiriyor. "Aşağıdaki hâller askerî suç ve ceza hakkında uygulanır." diyor. Şimdi, Ceza Muhakemeleri Kanunu'nda hükmün açıklanmasının ertelenmesi için iki yıllık bir sınır varken burada altı aya indiriyoruz bunu, askerî suçlar ve sivil suçlar arasında ciddi bir ayrım olacak. Altı aydan fazla suçlarla ilgili olarak asker kişiler de hükmün açıklanmasının ertelenmesinden yararlanamayacak. (B) fıkrası muallak bir fıkra. Kime göre, neye göre, nasıl ispatlanacak? Her mahkeme ayrı bir karar mı uygulayacak, yoksa Yargıtay mı bu konuda görüş bildirecek, o da doğru bir yazım tekniği değil. Bu arada (C) fıkrasındaki fiilin savaş veya seferberlikte işlenmesi hâli doğru olabilir, hatta orada belki de hiç hükmün açıklanmasının geri bırakılması olmayabilir. Ancak burada uzman çavuşlarla ilgili otuz günden fazla ceza alması takdirde hükmün açıklanmasının ertelenmesi olup olmamasına bakılmayarak meslekten ihraç edildikleri söyleniyor, buna da bakmak gerekiyor.</w:t>
      </w:r>
    </w:p>
    <w:p w:rsidR="00B45313" w:rsidRPr="00492DE8" w:rsidRDefault="001D27F7" w:rsidP="001D27F7">
      <w:pPr>
        <w:spacing w:before="120"/>
        <w:jc w:val="both"/>
        <w:rPr>
          <w:rFonts w:ascii="Arial" w:eastAsia="Times New Roman" w:hAnsi="Arial" w:cs="Arial"/>
          <w:sz w:val="24"/>
          <w:szCs w:val="24"/>
          <w:lang w:eastAsia="tr-TR"/>
        </w:rPr>
      </w:pPr>
      <w:r w:rsidRPr="001D27F7">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C0C19"/>
    <w:rsid w:val="008E48E2"/>
    <w:rsid w:val="0093357C"/>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2021-06-03T15:05:00Z</dcterms:created>
  <dcterms:modified xsi:type="dcterms:W3CDTF">2021-06-03T15:05:00Z</dcterms:modified>
</cp:coreProperties>
</file>