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B412" w14:textId="77777777" w:rsidR="00EC2217" w:rsidRPr="00EC2217" w:rsidRDefault="00EC2217" w:rsidP="00EC2217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21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953C8BE" w14:textId="77777777" w:rsidR="00EC2217" w:rsidRPr="00EC2217" w:rsidRDefault="00EC2217" w:rsidP="00EC22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8FAD4" w14:textId="77777777" w:rsidR="00EC2217" w:rsidRPr="00EC2217" w:rsidRDefault="00EC2217" w:rsidP="00EC2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217">
        <w:rPr>
          <w:rFonts w:ascii="Times New Roman" w:hAnsi="Times New Roman" w:cs="Times New Roman"/>
          <w:sz w:val="24"/>
          <w:szCs w:val="24"/>
        </w:rPr>
        <w:t xml:space="preserve">Aşağıdaki sorularımın Çevre ve Şehircilik Bakanı Murat Kurum tarafından yazılı olarak yanıtlanmasını, Anayasanın 98 ve İçtüzüğün 96. Maddeleri gereğince arz ederim. 20.04.2021 </w:t>
      </w:r>
    </w:p>
    <w:p w14:paraId="20CB5206" w14:textId="77777777" w:rsidR="00EC2217" w:rsidRPr="00EC2217" w:rsidRDefault="00EC2217" w:rsidP="00EC22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67873" w14:textId="77777777" w:rsidR="00EC2217" w:rsidRPr="00EC2217" w:rsidRDefault="00EC2217" w:rsidP="00EC2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217">
        <w:rPr>
          <w:rFonts w:ascii="Times New Roman" w:hAnsi="Times New Roman" w:cs="Times New Roman"/>
          <w:sz w:val="24"/>
          <w:szCs w:val="24"/>
        </w:rPr>
        <w:tab/>
      </w:r>
      <w:r w:rsidRPr="00EC2217">
        <w:rPr>
          <w:rFonts w:ascii="Times New Roman" w:hAnsi="Times New Roman" w:cs="Times New Roman"/>
          <w:sz w:val="24"/>
          <w:szCs w:val="24"/>
        </w:rPr>
        <w:tab/>
      </w:r>
      <w:r w:rsidRPr="00EC2217">
        <w:rPr>
          <w:rFonts w:ascii="Times New Roman" w:hAnsi="Times New Roman" w:cs="Times New Roman"/>
          <w:sz w:val="24"/>
          <w:szCs w:val="24"/>
        </w:rPr>
        <w:tab/>
      </w:r>
      <w:r w:rsidRPr="00EC2217">
        <w:rPr>
          <w:rFonts w:ascii="Times New Roman" w:hAnsi="Times New Roman" w:cs="Times New Roman"/>
          <w:sz w:val="24"/>
          <w:szCs w:val="24"/>
        </w:rPr>
        <w:tab/>
      </w:r>
      <w:r w:rsidRPr="00EC221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C2217">
        <w:rPr>
          <w:rFonts w:ascii="Times New Roman" w:hAnsi="Times New Roman" w:cs="Times New Roman"/>
          <w:sz w:val="24"/>
          <w:szCs w:val="24"/>
        </w:rPr>
        <w:tab/>
      </w:r>
      <w:r w:rsidRPr="00EC221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C221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EC221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017A1D2" w14:textId="77777777" w:rsidR="00EC2217" w:rsidRPr="00EC2217" w:rsidRDefault="00EC2217" w:rsidP="00EC2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217">
        <w:rPr>
          <w:rFonts w:ascii="Times New Roman" w:hAnsi="Times New Roman" w:cs="Times New Roman"/>
          <w:b/>
          <w:sz w:val="24"/>
          <w:szCs w:val="24"/>
        </w:rPr>
        <w:tab/>
      </w:r>
      <w:r w:rsidRPr="00EC2217">
        <w:rPr>
          <w:rFonts w:ascii="Times New Roman" w:hAnsi="Times New Roman" w:cs="Times New Roman"/>
          <w:b/>
          <w:sz w:val="24"/>
          <w:szCs w:val="24"/>
        </w:rPr>
        <w:tab/>
      </w:r>
      <w:r w:rsidRPr="00EC2217">
        <w:rPr>
          <w:rFonts w:ascii="Times New Roman" w:hAnsi="Times New Roman" w:cs="Times New Roman"/>
          <w:b/>
          <w:sz w:val="24"/>
          <w:szCs w:val="24"/>
        </w:rPr>
        <w:tab/>
      </w:r>
      <w:r w:rsidRPr="00EC2217">
        <w:rPr>
          <w:rFonts w:ascii="Times New Roman" w:hAnsi="Times New Roman" w:cs="Times New Roman"/>
          <w:b/>
          <w:sz w:val="24"/>
          <w:szCs w:val="24"/>
        </w:rPr>
        <w:tab/>
      </w:r>
      <w:r w:rsidRPr="00EC2217">
        <w:rPr>
          <w:rFonts w:ascii="Times New Roman" w:hAnsi="Times New Roman" w:cs="Times New Roman"/>
          <w:b/>
          <w:sz w:val="24"/>
          <w:szCs w:val="24"/>
        </w:rPr>
        <w:tab/>
      </w:r>
      <w:r w:rsidRPr="00EC2217">
        <w:rPr>
          <w:rFonts w:ascii="Times New Roman" w:hAnsi="Times New Roman" w:cs="Times New Roman"/>
          <w:b/>
          <w:sz w:val="24"/>
          <w:szCs w:val="24"/>
        </w:rPr>
        <w:tab/>
      </w:r>
      <w:r w:rsidRPr="00EC2217">
        <w:rPr>
          <w:rFonts w:ascii="Times New Roman" w:hAnsi="Times New Roman" w:cs="Times New Roman"/>
          <w:b/>
          <w:sz w:val="24"/>
          <w:szCs w:val="24"/>
        </w:rPr>
        <w:tab/>
      </w:r>
      <w:r w:rsidRPr="00EC2217">
        <w:rPr>
          <w:rFonts w:ascii="Times New Roman" w:hAnsi="Times New Roman" w:cs="Times New Roman"/>
          <w:b/>
          <w:sz w:val="24"/>
          <w:szCs w:val="24"/>
        </w:rPr>
        <w:tab/>
      </w:r>
      <w:r w:rsidRPr="00EC2217"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298B0D1A" w14:textId="2A295E27" w:rsidR="001E05E7" w:rsidRPr="00EC2217" w:rsidRDefault="00EC2217">
      <w:pPr>
        <w:rPr>
          <w:rFonts w:ascii="Times New Roman" w:hAnsi="Times New Roman" w:cs="Times New Roman"/>
          <w:sz w:val="24"/>
          <w:szCs w:val="24"/>
        </w:rPr>
      </w:pPr>
    </w:p>
    <w:p w14:paraId="100DC564" w14:textId="3EA639B7" w:rsidR="00EC2217" w:rsidRPr="00EC2217" w:rsidRDefault="00EC2217">
      <w:pPr>
        <w:rPr>
          <w:rFonts w:ascii="Times New Roman" w:hAnsi="Times New Roman" w:cs="Times New Roman"/>
          <w:sz w:val="24"/>
          <w:szCs w:val="24"/>
        </w:rPr>
      </w:pPr>
      <w:r w:rsidRPr="00EC2217">
        <w:rPr>
          <w:rFonts w:ascii="Times New Roman" w:hAnsi="Times New Roman" w:cs="Times New Roman"/>
          <w:sz w:val="24"/>
          <w:szCs w:val="24"/>
        </w:rPr>
        <w:t xml:space="preserve">1 – Türkiye’de 2015 ila 2021 yılları arasında “ÇED Olumlu” “ÇED Olumsuz” ve “ÇED Gerekli Değildir” kararları sayısı kaçtır? Hangi karar hangi başvuru neticesinde verilmiştir? </w:t>
      </w:r>
    </w:p>
    <w:p w14:paraId="0A00FED8" w14:textId="32DD863C" w:rsidR="00EC2217" w:rsidRPr="00EC2217" w:rsidRDefault="00EC2217">
      <w:pPr>
        <w:rPr>
          <w:rFonts w:ascii="Times New Roman" w:hAnsi="Times New Roman" w:cs="Times New Roman"/>
          <w:sz w:val="24"/>
          <w:szCs w:val="24"/>
        </w:rPr>
      </w:pPr>
      <w:r w:rsidRPr="00EC2217">
        <w:rPr>
          <w:rFonts w:ascii="Times New Roman" w:hAnsi="Times New Roman" w:cs="Times New Roman"/>
          <w:sz w:val="24"/>
          <w:szCs w:val="24"/>
        </w:rPr>
        <w:t>2 – “ÇED Olumlu” ve “ÇED Gerekli Değildir” kararı verilen projeler nelerdir? Bu projeler hangi firmalara aittir? Bahsi geçen projelerin ihale bedelleri nelerdir?</w:t>
      </w:r>
    </w:p>
    <w:p w14:paraId="77738AE1" w14:textId="28B34863" w:rsidR="00EC2217" w:rsidRDefault="00EC2217">
      <w:pPr>
        <w:rPr>
          <w:rFonts w:ascii="Times New Roman" w:hAnsi="Times New Roman" w:cs="Times New Roman"/>
          <w:sz w:val="24"/>
          <w:szCs w:val="24"/>
        </w:rPr>
      </w:pPr>
      <w:r w:rsidRPr="00EC2217">
        <w:rPr>
          <w:rFonts w:ascii="Times New Roman" w:hAnsi="Times New Roman" w:cs="Times New Roman"/>
          <w:sz w:val="24"/>
          <w:szCs w:val="24"/>
        </w:rPr>
        <w:t>3 – “ÇED Olumsuz” kararı veril</w:t>
      </w:r>
      <w:r>
        <w:rPr>
          <w:rFonts w:ascii="Times New Roman" w:hAnsi="Times New Roman" w:cs="Times New Roman"/>
          <w:sz w:val="24"/>
          <w:szCs w:val="24"/>
        </w:rPr>
        <w:t xml:space="preserve">mesine rağmen yapılmaya devam edilen veya yapılan projeler hangileridir? </w:t>
      </w:r>
    </w:p>
    <w:p w14:paraId="00ECD243" w14:textId="60662982" w:rsidR="00EC2217" w:rsidRPr="00EC2217" w:rsidRDefault="00EC2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Dava süreci görülmesine rağmen yapımına dev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am edilen iş sayısı kaçtır, bunlar nelerdir? </w:t>
      </w:r>
    </w:p>
    <w:sectPr w:rsidR="00EC2217" w:rsidRPr="00EC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C8"/>
    <w:rsid w:val="0072507F"/>
    <w:rsid w:val="008163C8"/>
    <w:rsid w:val="00EC221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9C71"/>
  <w15:chartTrackingRefBased/>
  <w15:docId w15:val="{98304F04-72C2-4F06-BCB0-0518BF14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21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2021-04-20T11:20:00Z</cp:lastPrinted>
  <dcterms:created xsi:type="dcterms:W3CDTF">2021-04-20T11:16:00Z</dcterms:created>
  <dcterms:modified xsi:type="dcterms:W3CDTF">2021-04-20T11:20:00Z</dcterms:modified>
</cp:coreProperties>
</file>